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05" w:rsidRPr="00945081" w:rsidRDefault="002340CB" w:rsidP="00B22070">
      <w:pPr>
        <w:spacing w:after="0"/>
        <w:rPr>
          <w:sz w:val="28"/>
          <w:szCs w:val="28"/>
        </w:rPr>
      </w:pPr>
      <w:bookmarkStart w:id="0" w:name="_GoBack"/>
      <w:bookmarkEnd w:id="0"/>
      <w:r w:rsidRPr="001C08B5">
        <w:rPr>
          <w:b/>
          <w:sz w:val="32"/>
          <w:szCs w:val="32"/>
        </w:rPr>
        <w:t xml:space="preserve">Construction Inspection </w:t>
      </w:r>
      <w:r w:rsidR="00945081" w:rsidRPr="001C08B5">
        <w:rPr>
          <w:b/>
          <w:sz w:val="32"/>
          <w:szCs w:val="32"/>
        </w:rPr>
        <w:t>Billing Update</w:t>
      </w:r>
      <w:r w:rsidR="002A0661" w:rsidRPr="001C08B5">
        <w:rPr>
          <w:b/>
          <w:sz w:val="32"/>
          <w:szCs w:val="32"/>
        </w:rPr>
        <w:t>:</w:t>
      </w:r>
      <w:r w:rsidR="00226300" w:rsidRPr="001C08B5">
        <w:rPr>
          <w:b/>
          <w:sz w:val="32"/>
          <w:szCs w:val="32"/>
        </w:rPr>
        <w:tab/>
      </w:r>
      <w:r w:rsidR="00226300">
        <w:rPr>
          <w:sz w:val="28"/>
          <w:szCs w:val="28"/>
        </w:rPr>
        <w:tab/>
      </w:r>
      <w:r w:rsidR="00226300">
        <w:rPr>
          <w:sz w:val="28"/>
          <w:szCs w:val="28"/>
        </w:rPr>
        <w:tab/>
      </w:r>
      <w:r w:rsidR="00226300">
        <w:rPr>
          <w:sz w:val="28"/>
          <w:szCs w:val="28"/>
        </w:rPr>
        <w:tab/>
        <w:t>01/2016</w:t>
      </w:r>
    </w:p>
    <w:p w:rsidR="00B22070" w:rsidRPr="00B22070" w:rsidRDefault="00B22070" w:rsidP="00B22070">
      <w:pPr>
        <w:spacing w:after="0"/>
      </w:pPr>
    </w:p>
    <w:p w:rsidR="004F5FAC" w:rsidRPr="00B22070" w:rsidRDefault="002A0661" w:rsidP="00B22070">
      <w:pPr>
        <w:spacing w:after="0"/>
      </w:pPr>
      <w:r w:rsidRPr="00B22070">
        <w:t>Consultant Services, Office of Planning and the Division of Finance have worked together to update the guidelines for</w:t>
      </w:r>
      <w:r w:rsidR="002340CB" w:rsidRPr="00B22070">
        <w:t xml:space="preserve"> Consultant </w:t>
      </w:r>
      <w:r w:rsidR="00A75D28" w:rsidRPr="00B22070">
        <w:t xml:space="preserve">Construction Inspection </w:t>
      </w:r>
      <w:r w:rsidR="002340CB" w:rsidRPr="00B22070">
        <w:t>billing when assigned to a project</w:t>
      </w:r>
      <w:r w:rsidR="00466157" w:rsidRPr="00B22070">
        <w:t xml:space="preserve"> th</w:t>
      </w:r>
      <w:r w:rsidR="0099024C">
        <w:t>r</w:t>
      </w:r>
      <w:r w:rsidR="00466157" w:rsidRPr="00B22070">
        <w:t>ough a Districtwide/Statewide Agreement</w:t>
      </w:r>
      <w:r w:rsidR="002340CB" w:rsidRPr="00B22070">
        <w:t>.</w:t>
      </w:r>
      <w:r w:rsidRPr="00B22070">
        <w:t xml:space="preserve">  </w:t>
      </w:r>
      <w:r w:rsidR="002340CB" w:rsidRPr="00B22070">
        <w:t xml:space="preserve">Effective </w:t>
      </w:r>
      <w:r w:rsidR="00466157" w:rsidRPr="00B22070">
        <w:t xml:space="preserve">December 31, 2015 </w:t>
      </w:r>
      <w:r w:rsidR="002340CB" w:rsidRPr="00B22070">
        <w:t>there is a new version of the IPS billing spreads</w:t>
      </w:r>
      <w:r w:rsidR="00EB07E5" w:rsidRPr="00B22070">
        <w:t xml:space="preserve">heet that is required for all </w:t>
      </w:r>
      <w:r w:rsidR="00A75D28" w:rsidRPr="00B22070">
        <w:t>Construction</w:t>
      </w:r>
      <w:r w:rsidR="00EB07E5" w:rsidRPr="00B22070">
        <w:t xml:space="preserve"> Inspection C</w:t>
      </w:r>
      <w:r w:rsidR="002340CB" w:rsidRPr="00B22070">
        <w:t>onsultant</w:t>
      </w:r>
      <w:r w:rsidR="00EB07E5" w:rsidRPr="00B22070">
        <w:t>s</w:t>
      </w:r>
      <w:r w:rsidR="002340CB" w:rsidRPr="00B22070">
        <w:t xml:space="preserve"> to us</w:t>
      </w:r>
      <w:r w:rsidR="00EB07E5" w:rsidRPr="00B22070">
        <w:t>e to</w:t>
      </w:r>
      <w:r w:rsidR="002340CB" w:rsidRPr="00B22070">
        <w:t xml:space="preserve"> bill ODOT and </w:t>
      </w:r>
      <w:r w:rsidR="00EB07E5" w:rsidRPr="00B22070">
        <w:t xml:space="preserve">receive </w:t>
      </w:r>
      <w:r w:rsidR="002340CB" w:rsidRPr="00B22070">
        <w:t>pa</w:t>
      </w:r>
      <w:r w:rsidR="00EB07E5" w:rsidRPr="00B22070">
        <w:t>yment appropriately</w:t>
      </w:r>
      <w:r w:rsidR="002340CB" w:rsidRPr="00B22070">
        <w:t>.</w:t>
      </w:r>
      <w:r w:rsidR="002A0415" w:rsidRPr="00B22070">
        <w:t xml:space="preserve">  </w:t>
      </w:r>
    </w:p>
    <w:p w:rsidR="00466157" w:rsidRPr="00B22070" w:rsidRDefault="00466157" w:rsidP="00B22070">
      <w:pPr>
        <w:spacing w:after="0"/>
      </w:pPr>
    </w:p>
    <w:p w:rsidR="002340CB" w:rsidRPr="00B22070" w:rsidRDefault="002340CB" w:rsidP="00B22070">
      <w:pPr>
        <w:spacing w:after="0"/>
      </w:pPr>
      <w:r w:rsidRPr="00B22070">
        <w:t>The follow</w:t>
      </w:r>
      <w:r w:rsidR="00DE7EF0" w:rsidRPr="00B22070">
        <w:t>ing</w:t>
      </w:r>
      <w:r w:rsidRPr="00B22070">
        <w:t xml:space="preserve"> information is </w:t>
      </w:r>
      <w:r w:rsidRPr="00B22070">
        <w:rPr>
          <w:b/>
          <w:color w:val="FF0000"/>
        </w:rPr>
        <w:t>required</w:t>
      </w:r>
      <w:r w:rsidRPr="00B22070">
        <w:rPr>
          <w:color w:val="FF0000"/>
        </w:rPr>
        <w:t xml:space="preserve"> </w:t>
      </w:r>
      <w:r w:rsidRPr="00B22070">
        <w:t xml:space="preserve">to be supplied by the </w:t>
      </w:r>
      <w:r w:rsidR="00A75D28" w:rsidRPr="00B22070">
        <w:t>D</w:t>
      </w:r>
      <w:r w:rsidRPr="00B22070">
        <w:t xml:space="preserve">istrict to </w:t>
      </w:r>
      <w:r w:rsidR="008A60AD" w:rsidRPr="00B22070">
        <w:t>C</w:t>
      </w:r>
      <w:r w:rsidRPr="00B22070">
        <w:t>onsultants as they are assigned new projects</w:t>
      </w:r>
      <w:r w:rsidR="00B22070" w:rsidRPr="00B22070">
        <w:t>.  Without this information the Consultant</w:t>
      </w:r>
      <w:r w:rsidRPr="00B22070">
        <w:t xml:space="preserve"> will not be able to invoice ODOT correctly which could cause significant delays in payment to the consultants on a project.</w:t>
      </w:r>
      <w:r w:rsidR="001C08B5" w:rsidRPr="00B22070">
        <w:t xml:space="preserve">  </w:t>
      </w:r>
      <w:r w:rsidR="001C08B5" w:rsidRPr="00B22070">
        <w:rPr>
          <w:b/>
        </w:rPr>
        <w:t>Please use the table format provided</w:t>
      </w:r>
      <w:r w:rsidR="001C08B5" w:rsidRPr="00B22070">
        <w:t xml:space="preserve"> for consistency throughout the State.</w:t>
      </w:r>
    </w:p>
    <w:p w:rsidR="00B22070" w:rsidRDefault="00B22070" w:rsidP="00B22070">
      <w:pPr>
        <w:spacing w:after="0"/>
        <w:rPr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591"/>
        <w:gridCol w:w="2517"/>
        <w:gridCol w:w="2121"/>
      </w:tblGrid>
      <w:tr w:rsidR="00B22070" w:rsidRPr="00B22070" w:rsidTr="00D63308">
        <w:trPr>
          <w:jc w:val="center"/>
        </w:trPr>
        <w:tc>
          <w:tcPr>
            <w:tcW w:w="2591" w:type="dxa"/>
          </w:tcPr>
          <w:p w:rsidR="00B22070" w:rsidRPr="00B22070" w:rsidRDefault="00B22070" w:rsidP="00B22070">
            <w:pPr>
              <w:rPr>
                <w:b/>
                <w:sz w:val="20"/>
                <w:szCs w:val="20"/>
                <w:u w:val="single"/>
              </w:rPr>
            </w:pPr>
            <w:r w:rsidRPr="00B22070">
              <w:rPr>
                <w:b/>
                <w:sz w:val="20"/>
                <w:szCs w:val="20"/>
                <w:u w:val="single"/>
              </w:rPr>
              <w:t>Description</w:t>
            </w:r>
          </w:p>
        </w:tc>
        <w:tc>
          <w:tcPr>
            <w:tcW w:w="2517" w:type="dxa"/>
          </w:tcPr>
          <w:p w:rsidR="00B22070" w:rsidRPr="00B22070" w:rsidRDefault="00B22070" w:rsidP="00B22070">
            <w:pPr>
              <w:rPr>
                <w:b/>
                <w:sz w:val="20"/>
                <w:szCs w:val="20"/>
                <w:u w:val="single"/>
              </w:rPr>
            </w:pPr>
            <w:r w:rsidRPr="00B22070">
              <w:rPr>
                <w:b/>
                <w:sz w:val="20"/>
                <w:szCs w:val="20"/>
                <w:u w:val="single"/>
              </w:rPr>
              <w:t>Data to be Entered</w:t>
            </w:r>
          </w:p>
        </w:tc>
        <w:tc>
          <w:tcPr>
            <w:tcW w:w="2121" w:type="dxa"/>
          </w:tcPr>
          <w:p w:rsidR="00B22070" w:rsidRPr="00B22070" w:rsidRDefault="00B22070" w:rsidP="00B22070">
            <w:pPr>
              <w:rPr>
                <w:b/>
                <w:sz w:val="20"/>
                <w:szCs w:val="20"/>
                <w:u w:val="single"/>
              </w:rPr>
            </w:pPr>
            <w:r w:rsidRPr="00B22070">
              <w:rPr>
                <w:b/>
                <w:sz w:val="20"/>
                <w:szCs w:val="20"/>
                <w:u w:val="single"/>
              </w:rPr>
              <w:t>Where to Enter</w:t>
            </w:r>
          </w:p>
        </w:tc>
      </w:tr>
      <w:tr w:rsidR="00B22070" w:rsidRPr="00B22070" w:rsidTr="00D63308">
        <w:trPr>
          <w:jc w:val="center"/>
        </w:trPr>
        <w:tc>
          <w:tcPr>
            <w:tcW w:w="259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Part Number</w:t>
            </w:r>
          </w:p>
        </w:tc>
        <w:tc>
          <w:tcPr>
            <w:tcW w:w="2517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0.1_ODOT, Column E</w:t>
            </w:r>
          </w:p>
        </w:tc>
      </w:tr>
      <w:tr w:rsidR="00B22070" w:rsidRPr="00B22070" w:rsidTr="00D63308">
        <w:trPr>
          <w:jc w:val="center"/>
        </w:trPr>
        <w:tc>
          <w:tcPr>
            <w:tcW w:w="259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Task Number</w:t>
            </w:r>
          </w:p>
        </w:tc>
        <w:tc>
          <w:tcPr>
            <w:tcW w:w="2517" w:type="dxa"/>
          </w:tcPr>
          <w:p w:rsidR="00B22070" w:rsidRPr="00B22070" w:rsidRDefault="00B22070" w:rsidP="00B22070">
            <w:pPr>
              <w:rPr>
                <w:color w:val="FF0000"/>
                <w:sz w:val="20"/>
                <w:szCs w:val="20"/>
              </w:rPr>
            </w:pPr>
            <w:r w:rsidRPr="00B22070">
              <w:rPr>
                <w:color w:val="FF0000"/>
                <w:sz w:val="20"/>
                <w:szCs w:val="20"/>
              </w:rPr>
              <w:t>x</w:t>
            </w:r>
          </w:p>
        </w:tc>
        <w:tc>
          <w:tcPr>
            <w:tcW w:w="212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0.1_ODOT, Column F</w:t>
            </w:r>
          </w:p>
        </w:tc>
      </w:tr>
      <w:tr w:rsidR="00B22070" w:rsidRPr="00B22070" w:rsidTr="00D63308">
        <w:trPr>
          <w:jc w:val="center"/>
        </w:trPr>
        <w:tc>
          <w:tcPr>
            <w:tcW w:w="259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PID</w:t>
            </w:r>
          </w:p>
        </w:tc>
        <w:tc>
          <w:tcPr>
            <w:tcW w:w="2517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color w:val="FF0000"/>
                <w:sz w:val="20"/>
                <w:szCs w:val="20"/>
              </w:rPr>
              <w:t>(must be 4-6 digits)</w:t>
            </w:r>
          </w:p>
        </w:tc>
        <w:tc>
          <w:tcPr>
            <w:tcW w:w="212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0.1_ODOT, Column D</w:t>
            </w:r>
          </w:p>
        </w:tc>
      </w:tr>
      <w:tr w:rsidR="00B22070" w:rsidRPr="00B22070" w:rsidTr="00D63308">
        <w:trPr>
          <w:jc w:val="center"/>
        </w:trPr>
        <w:tc>
          <w:tcPr>
            <w:tcW w:w="259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Task Description</w:t>
            </w:r>
          </w:p>
        </w:tc>
        <w:tc>
          <w:tcPr>
            <w:tcW w:w="2517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color w:val="FF0000"/>
                <w:sz w:val="20"/>
                <w:szCs w:val="20"/>
              </w:rPr>
              <w:t>Task x Description</w:t>
            </w:r>
          </w:p>
        </w:tc>
        <w:tc>
          <w:tcPr>
            <w:tcW w:w="212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0.1_ODOT, Column H</w:t>
            </w:r>
          </w:p>
        </w:tc>
      </w:tr>
      <w:tr w:rsidR="00B22070" w:rsidRPr="00B22070" w:rsidTr="00D63308">
        <w:trPr>
          <w:jc w:val="center"/>
        </w:trPr>
        <w:tc>
          <w:tcPr>
            <w:tcW w:w="259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Task Authorization to Proceed</w:t>
            </w:r>
          </w:p>
        </w:tc>
        <w:tc>
          <w:tcPr>
            <w:tcW w:w="2517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color w:val="FF0000"/>
                <w:sz w:val="20"/>
                <w:szCs w:val="20"/>
              </w:rPr>
              <w:t>x/x/2015</w:t>
            </w:r>
          </w:p>
        </w:tc>
        <w:tc>
          <w:tcPr>
            <w:tcW w:w="212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0.1_ODOT, Column J</w:t>
            </w:r>
          </w:p>
        </w:tc>
      </w:tr>
      <w:tr w:rsidR="00B22070" w:rsidRPr="00B22070" w:rsidTr="00D63308">
        <w:trPr>
          <w:jc w:val="center"/>
        </w:trPr>
        <w:tc>
          <w:tcPr>
            <w:tcW w:w="259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Task Max Fee</w:t>
            </w:r>
          </w:p>
        </w:tc>
        <w:tc>
          <w:tcPr>
            <w:tcW w:w="2517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color w:val="FF0000"/>
                <w:sz w:val="20"/>
                <w:szCs w:val="20"/>
              </w:rPr>
              <w:t>$x,xxx</w:t>
            </w:r>
          </w:p>
        </w:tc>
        <w:tc>
          <w:tcPr>
            <w:tcW w:w="212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0.1_ODOT, Column L</w:t>
            </w:r>
          </w:p>
        </w:tc>
      </w:tr>
      <w:tr w:rsidR="00B22070" w:rsidRPr="00B22070" w:rsidTr="00D63308">
        <w:trPr>
          <w:jc w:val="center"/>
        </w:trPr>
        <w:tc>
          <w:tcPr>
            <w:tcW w:w="259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Encumbrance Number*</w:t>
            </w:r>
          </w:p>
        </w:tc>
        <w:tc>
          <w:tcPr>
            <w:tcW w:w="2517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 xml:space="preserve"> </w:t>
            </w:r>
            <w:r w:rsidRPr="00B22070">
              <w:rPr>
                <w:color w:val="FF0000"/>
                <w:sz w:val="20"/>
                <w:szCs w:val="20"/>
              </w:rPr>
              <w:t>(must be 6 digits)</w:t>
            </w:r>
          </w:p>
        </w:tc>
        <w:tc>
          <w:tcPr>
            <w:tcW w:w="212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0.1_ODOT, Column C</w:t>
            </w:r>
          </w:p>
        </w:tc>
      </w:tr>
      <w:tr w:rsidR="00B22070" w:rsidRPr="00B22070" w:rsidTr="00D63308">
        <w:trPr>
          <w:jc w:val="center"/>
        </w:trPr>
        <w:tc>
          <w:tcPr>
            <w:tcW w:w="259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Federal Aid Number (FAN)</w:t>
            </w:r>
          </w:p>
        </w:tc>
        <w:tc>
          <w:tcPr>
            <w:tcW w:w="2517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 xml:space="preserve">E000(123) </w:t>
            </w:r>
            <w:r w:rsidRPr="00B22070">
              <w:rPr>
                <w:color w:val="FF0000"/>
                <w:sz w:val="20"/>
                <w:szCs w:val="20"/>
              </w:rPr>
              <w:t>(must be in this format)</w:t>
            </w:r>
          </w:p>
        </w:tc>
        <w:tc>
          <w:tcPr>
            <w:tcW w:w="212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0.3_Funding_Setup, Column H</w:t>
            </w:r>
          </w:p>
        </w:tc>
      </w:tr>
      <w:tr w:rsidR="00B22070" w:rsidRPr="00B22070" w:rsidTr="00D63308">
        <w:trPr>
          <w:jc w:val="center"/>
        </w:trPr>
        <w:tc>
          <w:tcPr>
            <w:tcW w:w="259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State Job Number (SJN)</w:t>
            </w:r>
          </w:p>
        </w:tc>
        <w:tc>
          <w:tcPr>
            <w:tcW w:w="2517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color w:val="FF0000"/>
                <w:sz w:val="20"/>
                <w:szCs w:val="20"/>
              </w:rPr>
              <w:t>(must be 6 digits)</w:t>
            </w:r>
          </w:p>
        </w:tc>
        <w:tc>
          <w:tcPr>
            <w:tcW w:w="212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0.3_Funding_Setup, Column I</w:t>
            </w:r>
          </w:p>
        </w:tc>
      </w:tr>
      <w:tr w:rsidR="00B22070" w:rsidRPr="00B22070" w:rsidTr="00D63308">
        <w:trPr>
          <w:jc w:val="center"/>
        </w:trPr>
        <w:tc>
          <w:tcPr>
            <w:tcW w:w="259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lastRenderedPageBreak/>
              <w:t>Federal Funding Percentage</w:t>
            </w:r>
          </w:p>
        </w:tc>
        <w:tc>
          <w:tcPr>
            <w:tcW w:w="2517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 xml:space="preserve">xx% </w:t>
            </w:r>
            <w:r w:rsidRPr="00B22070">
              <w:rPr>
                <w:color w:val="FF0000"/>
                <w:sz w:val="20"/>
                <w:szCs w:val="20"/>
              </w:rPr>
              <w:t>(up to 100%, if applicable)</w:t>
            </w:r>
          </w:p>
        </w:tc>
        <w:tc>
          <w:tcPr>
            <w:tcW w:w="212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0.3_Funding_Setup, Column J</w:t>
            </w:r>
          </w:p>
        </w:tc>
      </w:tr>
      <w:tr w:rsidR="00B22070" w:rsidRPr="00B22070" w:rsidTr="00D63308">
        <w:trPr>
          <w:jc w:val="center"/>
        </w:trPr>
        <w:tc>
          <w:tcPr>
            <w:tcW w:w="259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 xml:space="preserve">State Funding Percentage </w:t>
            </w:r>
          </w:p>
        </w:tc>
        <w:tc>
          <w:tcPr>
            <w:tcW w:w="2517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 xml:space="preserve">xx% </w:t>
            </w:r>
            <w:r w:rsidRPr="00B22070">
              <w:rPr>
                <w:color w:val="FF0000"/>
                <w:sz w:val="20"/>
                <w:szCs w:val="20"/>
              </w:rPr>
              <w:t>(up to 100%, if applicable)</w:t>
            </w:r>
          </w:p>
        </w:tc>
        <w:tc>
          <w:tcPr>
            <w:tcW w:w="212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0.3_Funding_Setup, Column K</w:t>
            </w:r>
          </w:p>
        </w:tc>
      </w:tr>
      <w:tr w:rsidR="00B22070" w:rsidRPr="00B22070" w:rsidTr="00D63308">
        <w:trPr>
          <w:jc w:val="center"/>
        </w:trPr>
        <w:tc>
          <w:tcPr>
            <w:tcW w:w="259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Other/Local Funding Percentage</w:t>
            </w:r>
          </w:p>
        </w:tc>
        <w:tc>
          <w:tcPr>
            <w:tcW w:w="2517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 xml:space="preserve">N/A </w:t>
            </w:r>
            <w:r w:rsidRPr="00B22070">
              <w:rPr>
                <w:color w:val="FF0000"/>
                <w:sz w:val="20"/>
                <w:szCs w:val="20"/>
              </w:rPr>
              <w:t>(up to 100%, if applicable)</w:t>
            </w:r>
          </w:p>
        </w:tc>
        <w:tc>
          <w:tcPr>
            <w:tcW w:w="2121" w:type="dxa"/>
          </w:tcPr>
          <w:p w:rsidR="00B22070" w:rsidRPr="00B22070" w:rsidRDefault="00B22070" w:rsidP="00B22070">
            <w:pPr>
              <w:rPr>
                <w:sz w:val="20"/>
                <w:szCs w:val="20"/>
              </w:rPr>
            </w:pPr>
            <w:r w:rsidRPr="00B22070">
              <w:rPr>
                <w:sz w:val="20"/>
                <w:szCs w:val="20"/>
              </w:rPr>
              <w:t>0.3_Funding_Setup, Column L</w:t>
            </w:r>
          </w:p>
        </w:tc>
      </w:tr>
    </w:tbl>
    <w:p w:rsidR="00B22070" w:rsidRDefault="00582854" w:rsidP="00634F56">
      <w:pPr>
        <w:spacing w:after="0"/>
        <w:ind w:left="720"/>
      </w:pPr>
      <w:r>
        <w:t>*</w:t>
      </w:r>
      <w:r w:rsidRPr="00582854">
        <w:t>Encumbrance number should be the same for every PID, unless otherwise directed.</w:t>
      </w:r>
    </w:p>
    <w:p w:rsidR="00471B64" w:rsidRPr="00B22070" w:rsidRDefault="00471B64" w:rsidP="00582854">
      <w:pPr>
        <w:spacing w:after="0"/>
        <w:ind w:firstLine="360"/>
      </w:pPr>
    </w:p>
    <w:p w:rsidR="00130ED0" w:rsidRPr="00B22070" w:rsidRDefault="001C08B5" w:rsidP="00B22070">
      <w:pPr>
        <w:pStyle w:val="ListParagraph"/>
        <w:numPr>
          <w:ilvl w:val="0"/>
          <w:numId w:val="2"/>
        </w:numPr>
        <w:spacing w:after="0"/>
      </w:pPr>
      <w:r w:rsidRPr="00B22070">
        <w:t>A</w:t>
      </w:r>
      <w:r w:rsidR="00130ED0" w:rsidRPr="00B22070">
        <w:t xml:space="preserve">ccordingly, when an invoice is submitted, it will now include a new page which breaks down the federal, state, and local funding by task.  </w:t>
      </w:r>
    </w:p>
    <w:p w:rsidR="00EB07E5" w:rsidRPr="00B22070" w:rsidRDefault="00EB07E5" w:rsidP="00B22070">
      <w:pPr>
        <w:pStyle w:val="ListParagraph"/>
        <w:numPr>
          <w:ilvl w:val="0"/>
          <w:numId w:val="2"/>
        </w:numPr>
        <w:spacing w:after="0"/>
      </w:pPr>
      <w:r w:rsidRPr="00B22070">
        <w:t xml:space="preserve">To assist the </w:t>
      </w:r>
      <w:r w:rsidR="00A75D28" w:rsidRPr="00B22070">
        <w:t xml:space="preserve">districts and </w:t>
      </w:r>
      <w:r w:rsidRPr="00B22070">
        <w:t>consultants in the updated functionality of the new IPS form we have attached an easy to use guide for the required information on the IPS form.</w:t>
      </w:r>
    </w:p>
    <w:p w:rsidR="00B149E6" w:rsidRPr="00B22070" w:rsidRDefault="00B149E6" w:rsidP="00B22070">
      <w:pPr>
        <w:pStyle w:val="ListParagraph"/>
        <w:numPr>
          <w:ilvl w:val="0"/>
          <w:numId w:val="2"/>
        </w:numPr>
        <w:spacing w:after="0"/>
      </w:pPr>
      <w:r w:rsidRPr="00B22070">
        <w:t>For Questions on the IPS System please contact Mat Mauger or Mar</w:t>
      </w:r>
      <w:r w:rsidR="00EC3257" w:rsidRPr="00B22070">
        <w:t>c</w:t>
      </w:r>
      <w:r w:rsidRPr="00B22070">
        <w:t xml:space="preserve"> Travis.</w:t>
      </w:r>
    </w:p>
    <w:p w:rsidR="000B60BD" w:rsidRDefault="000B60BD" w:rsidP="000B60BD">
      <w:pPr>
        <w:spacing w:after="0"/>
      </w:pPr>
    </w:p>
    <w:p w:rsidR="00EB07E5" w:rsidRPr="000B60BD" w:rsidRDefault="00EB07E5" w:rsidP="000B60BD">
      <w:pPr>
        <w:spacing w:after="0"/>
        <w:rPr>
          <w:b/>
          <w:color w:val="002060"/>
        </w:rPr>
      </w:pPr>
      <w:r w:rsidRPr="000B60BD">
        <w:rPr>
          <w:b/>
          <w:color w:val="002060"/>
        </w:rPr>
        <w:t>Additional Payment Information:</w:t>
      </w:r>
    </w:p>
    <w:p w:rsidR="00B116D7" w:rsidRPr="000B60BD" w:rsidRDefault="00B116D7">
      <w:pPr>
        <w:rPr>
          <w:color w:val="002060"/>
        </w:rPr>
      </w:pPr>
      <w:r w:rsidRPr="000B60BD">
        <w:rPr>
          <w:color w:val="002060"/>
        </w:rPr>
        <w:t xml:space="preserve">Finance has </w:t>
      </w:r>
      <w:r w:rsidR="00EB07E5" w:rsidRPr="000B60BD">
        <w:rPr>
          <w:color w:val="002060"/>
        </w:rPr>
        <w:t xml:space="preserve">recently </w:t>
      </w:r>
      <w:r w:rsidR="001C08B5" w:rsidRPr="000B60BD">
        <w:rPr>
          <w:color w:val="002060"/>
        </w:rPr>
        <w:t xml:space="preserve">received </w:t>
      </w:r>
      <w:r w:rsidR="006E7A42" w:rsidRPr="000B60BD">
        <w:rPr>
          <w:color w:val="002060"/>
        </w:rPr>
        <w:t xml:space="preserve">some </w:t>
      </w:r>
      <w:r w:rsidR="001C08B5" w:rsidRPr="000B60BD">
        <w:rPr>
          <w:color w:val="002060"/>
        </w:rPr>
        <w:t xml:space="preserve">consultant invoices </w:t>
      </w:r>
      <w:r w:rsidRPr="000B60BD">
        <w:rPr>
          <w:color w:val="002060"/>
        </w:rPr>
        <w:t xml:space="preserve">without proper use of the </w:t>
      </w:r>
      <w:r w:rsidR="006E7A42" w:rsidRPr="000B60BD">
        <w:rPr>
          <w:color w:val="002060"/>
        </w:rPr>
        <w:t xml:space="preserve">IPS </w:t>
      </w:r>
      <w:r w:rsidR="005972EE" w:rsidRPr="000B60BD">
        <w:rPr>
          <w:color w:val="002060"/>
        </w:rPr>
        <w:t xml:space="preserve">(invoice) </w:t>
      </w:r>
      <w:r w:rsidRPr="000B60BD">
        <w:rPr>
          <w:color w:val="002060"/>
        </w:rPr>
        <w:t xml:space="preserve">form and not delineated by project.  </w:t>
      </w:r>
      <w:r w:rsidR="006E7A42" w:rsidRPr="000B60BD">
        <w:rPr>
          <w:color w:val="002060"/>
        </w:rPr>
        <w:t xml:space="preserve">Without proper documentation of services provided and the PIDs associated with the services finance and consultant services is </w:t>
      </w:r>
      <w:r w:rsidR="00945081" w:rsidRPr="000B60BD">
        <w:rPr>
          <w:color w:val="002060"/>
        </w:rPr>
        <w:t>un</w:t>
      </w:r>
      <w:r w:rsidR="006E7A42" w:rsidRPr="000B60BD">
        <w:rPr>
          <w:color w:val="002060"/>
        </w:rPr>
        <w:t>able to accurately account for project costs.  As a result, w</w:t>
      </w:r>
      <w:r w:rsidRPr="000B60BD">
        <w:rPr>
          <w:color w:val="002060"/>
        </w:rPr>
        <w:t>e will return</w:t>
      </w:r>
      <w:r w:rsidR="006E7A42" w:rsidRPr="000B60BD">
        <w:rPr>
          <w:color w:val="002060"/>
        </w:rPr>
        <w:t xml:space="preserve"> all billing requests that are not completed o</w:t>
      </w:r>
      <w:r w:rsidR="00945081" w:rsidRPr="000B60BD">
        <w:rPr>
          <w:color w:val="002060"/>
        </w:rPr>
        <w:t>n the IPS form for correction and re-submission.</w:t>
      </w:r>
    </w:p>
    <w:sectPr w:rsidR="00B116D7" w:rsidRPr="000B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5D06"/>
    <w:multiLevelType w:val="hybridMultilevel"/>
    <w:tmpl w:val="DC68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6B0F"/>
    <w:multiLevelType w:val="hybridMultilevel"/>
    <w:tmpl w:val="C21E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61"/>
    <w:rsid w:val="000B60BD"/>
    <w:rsid w:val="00130ED0"/>
    <w:rsid w:val="001C08B5"/>
    <w:rsid w:val="00226300"/>
    <w:rsid w:val="002340CB"/>
    <w:rsid w:val="00275F05"/>
    <w:rsid w:val="002A0415"/>
    <w:rsid w:val="002A0661"/>
    <w:rsid w:val="00450D93"/>
    <w:rsid w:val="00466157"/>
    <w:rsid w:val="00471B64"/>
    <w:rsid w:val="004F5FAC"/>
    <w:rsid w:val="00582854"/>
    <w:rsid w:val="005972EE"/>
    <w:rsid w:val="00634F56"/>
    <w:rsid w:val="006E7A42"/>
    <w:rsid w:val="006F1C4A"/>
    <w:rsid w:val="00711B74"/>
    <w:rsid w:val="008A60AD"/>
    <w:rsid w:val="00945081"/>
    <w:rsid w:val="0099024C"/>
    <w:rsid w:val="00A75D28"/>
    <w:rsid w:val="00B116D7"/>
    <w:rsid w:val="00B149E6"/>
    <w:rsid w:val="00B22070"/>
    <w:rsid w:val="00C350CD"/>
    <w:rsid w:val="00DD0FF9"/>
    <w:rsid w:val="00DE7EF0"/>
    <w:rsid w:val="00EB07E5"/>
    <w:rsid w:val="00EC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E4F6F-29BE-44BE-A836-44B71D77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ED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7E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2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entifier xmlns="ce94b5fb-6e0d-4d14-ab01-4efc89c54d1d">PDP</Identifier>
    <Category xmlns="b31b1307-c7b3-4d15-8cd0-188e09bc2143">Invoice &amp; Project Schedule (IPS)</Category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8748D768B5B4DBCE9C4A878218297" ma:contentTypeVersion="9" ma:contentTypeDescription="Create a new document." ma:contentTypeScope="" ma:versionID="af94f599884a8a91beaef3d739368145">
  <xsd:schema xmlns:xsd="http://www.w3.org/2001/XMLSchema" xmlns:xs="http://www.w3.org/2001/XMLSchema" xmlns:p="http://schemas.microsoft.com/office/2006/metadata/properties" xmlns:ns2="ce94b5fb-6e0d-4d14-ab01-4efc89c54d1d" xmlns:ns3="b31b1307-c7b3-4d15-8cd0-188e09bc2143" xmlns:ns4="716bfe16-1abb-498e-9a34-c354564ee716" xmlns:ns5="http://schemas.microsoft.com/sharepoint/v4" targetNamespace="http://schemas.microsoft.com/office/2006/metadata/properties" ma:root="true" ma:fieldsID="755b026e1ff07d143d997cea8e42c687" ns2:_="" ns3:_="" ns4:_="" ns5:_="">
    <xsd:import namespace="ce94b5fb-6e0d-4d14-ab01-4efc89c54d1d"/>
    <xsd:import namespace="b31b1307-c7b3-4d15-8cd0-188e09bc2143"/>
    <xsd:import namespace="716bfe16-1abb-498e-9a34-c354564ee71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dentifier" minOccurs="0"/>
                <xsd:element ref="ns3:Category" minOccurs="0"/>
                <xsd:element ref="ns4:SharedWithUs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b5fb-6e0d-4d14-ab01-4efc89c54d1d" elementFormDefault="qualified">
    <xsd:import namespace="http://schemas.microsoft.com/office/2006/documentManagement/types"/>
    <xsd:import namespace="http://schemas.microsoft.com/office/infopath/2007/PartnerControls"/>
    <xsd:element name="Identifier" ma:index="8" nillable="true" ma:displayName="Identifier" ma:default="PDP" ma:format="Dropdown" ma:internalName="Identifier">
      <xsd:simpleType>
        <xsd:union memberTypes="dms:Text">
          <xsd:simpleType>
            <xsd:restriction base="dms:Choice">
              <xsd:enumeration value="PDP"/>
              <xsd:enumeration value="IPS"/>
              <xsd:enumeration value="GeoTechnical"/>
              <xsd:enumeration value="Manual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b1307-c7b3-4d15-8cd0-188e09bc2143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format="Dropdown" ma:internalName="Category">
      <xsd:simpleType>
        <xsd:restriction base="dms:Choice">
          <xsd:enumeration value="Scope of Services Documents"/>
          <xsd:enumeration value="Proposal Documents"/>
          <xsd:enumeration value="Contract Administration and Evaluation"/>
          <xsd:enumeration value="Invoice &amp; Project Schedule (IPS)"/>
          <xsd:enumeration value="Specifications for Consulting Services"/>
          <xsd:enumeration value="Miscellaneous Documents"/>
          <xsd:enumeration value="Conflict of Interest"/>
          <xsd:enumeration value=".DBE Participation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fe16-1abb-498e-9a34-c354564ee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9B580-6437-4D8E-A6A9-5C53003DDEA1}"/>
</file>

<file path=customXml/itemProps2.xml><?xml version="1.0" encoding="utf-8"?>
<ds:datastoreItem xmlns:ds="http://schemas.openxmlformats.org/officeDocument/2006/customXml" ds:itemID="{26BCE14E-5C4F-4526-833D-75900C6B0532}"/>
</file>

<file path=customXml/itemProps3.xml><?xml version="1.0" encoding="utf-8"?>
<ds:datastoreItem xmlns:ds="http://schemas.openxmlformats.org/officeDocument/2006/customXml" ds:itemID="{F43221AD-34AF-469F-B6E9-94C4D7D6F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Inspection Billing Information</dc:title>
  <dc:subject/>
  <dc:creator>Alana Haberman</dc:creator>
  <cp:keywords/>
  <dc:description/>
  <cp:lastModifiedBy>Robert Flower</cp:lastModifiedBy>
  <cp:revision>2</cp:revision>
  <cp:lastPrinted>2016-01-13T12:52:00Z</cp:lastPrinted>
  <dcterms:created xsi:type="dcterms:W3CDTF">2016-01-21T17:39:00Z</dcterms:created>
  <dcterms:modified xsi:type="dcterms:W3CDTF">2016-01-21T17:39:00Z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0x0101000B58748D768B5B4DBCE9C4A878218297</vt:lpwstr>
  </property>
  <property fmtid="{D5CDD505-2E9C-101B-9397-08002B2CF9AE}" pid="3" name="Order">
    <vt:r8>6600</vt:r8>
  </property>
</Properties>
</file>